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1A" w:rsidRDefault="00AC5D1A" w:rsidP="00AC5D1A">
      <w:pPr>
        <w:spacing w:after="300" w:line="240" w:lineRule="auto"/>
        <w:jc w:val="both"/>
        <w:outlineLvl w:val="0"/>
      </w:pPr>
      <w:r>
        <w:rPr>
          <w:noProof/>
          <w:lang w:eastAsia="es-ES"/>
        </w:rPr>
        <w:drawing>
          <wp:inline distT="0" distB="0" distL="0" distR="0" wp14:anchorId="1F1ED5EE" wp14:editId="7D01CE85">
            <wp:extent cx="1962150" cy="504825"/>
            <wp:effectExtent l="0" t="0" r="0" b="0"/>
            <wp:docPr id="21" name="Imagen18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18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028BC0"/>
          <w:kern w:val="2"/>
          <w:sz w:val="24"/>
          <w:szCs w:val="24"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495CB3F6" wp14:editId="0470B0B9">
            <wp:extent cx="2952750" cy="781050"/>
            <wp:effectExtent l="0" t="0" r="0" b="0"/>
            <wp:docPr id="22" name="Imagen17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17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F1" w:rsidRDefault="00004CF1" w:rsidP="00004CF1">
      <w:pPr>
        <w:spacing w:after="300" w:line="240" w:lineRule="auto"/>
        <w:jc w:val="both"/>
        <w:outlineLvl w:val="0"/>
      </w:pPr>
      <w:r>
        <w:rPr>
          <w:rStyle w:val="Textoennegrita"/>
          <w:rFonts w:ascii="Trebuchet MS" w:eastAsia="Times New Roman" w:hAnsi="Trebuchet MS" w:cs="Times New Roman"/>
          <w:color w:val="6E6E6E"/>
          <w:kern w:val="2"/>
          <w:sz w:val="24"/>
          <w:szCs w:val="24"/>
          <w:lang w:eastAsia="es-ES"/>
        </w:rPr>
        <w:t>Criterios de Evolución. GEOGRAFÍA.2º DE BACHILLERATO</w:t>
      </w:r>
      <w:r>
        <w:rPr>
          <w:rStyle w:val="Textoennegrita"/>
          <w:rFonts w:ascii="Trebuchet MS" w:eastAsia="Times New Roman" w:hAnsi="Trebuchet MS" w:cs="Times New Roman"/>
          <w:color w:val="6E6E6E"/>
          <w:kern w:val="2"/>
          <w:sz w:val="20"/>
          <w:szCs w:val="20"/>
          <w:lang w:eastAsia="es-ES"/>
        </w:rPr>
        <w:t>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1 Buscar, obtener, seleccionar y utilizar información de contenido geográfico procedente de fuentes diversas (entorno del alumnado, mapas, gráficos, estadísticas, imágenes, textos…), empleando las tecnologías de la información y comunicación, incluidas sus vertientes interactivas y colaborativas, para localizar e interpretar los fenómenos territoriales y sus interrelaciones, empleando un lenguaje y terminología específicos y adecuados para la explicación y comunicación de hechos y procesos geográficos.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2. Identificar las características que definen la creciente mundialización, así como los rasgos esenciales propios de la Unión Europea, para comprender los factores que explican la situación española y canaria en un área geoeconómica determinada y sus consecuencias.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3. Distinguir los rasgos generales del medio natural europeo y español, con especial atención al medio canario, reconocer la diversidad de conjuntos naturales, localizándolos en mapas, identificando los elementos que los caracterizan y su propia dinámica, y explicando sus interacciones y valorando la acción humana sobre ellos.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</w:pPr>
      <w:r>
        <w:rPr>
          <w:rFonts w:ascii="Trebuchet MS" w:hAnsi="Trebuchet MS"/>
          <w:color w:val="6E6E6E"/>
        </w:rPr>
        <w:t>4. </w:t>
      </w:r>
      <w:r>
        <w:rPr>
          <w:rStyle w:val="Textoennegrita"/>
          <w:rFonts w:ascii="Trebuchet MS" w:hAnsi="Trebuchet MS"/>
          <w:color w:val="6E6E6E"/>
        </w:rPr>
        <w:t>Identificar y caracterizar los diferentes espacios productivos españoles, con especial atención a los canarios, relacionarlos con su dinámica más reciente reconociendo los factores de localización, distribución territorial y las tipologías resultantes, explicando las tendencias actuales en relación tanto con el espacio geográfico como con su contribución a la economía, valorándolas en el contexto europeo en que se producen</w:t>
      </w:r>
      <w:r>
        <w:rPr>
          <w:rFonts w:ascii="Trebuchet MS" w:hAnsi="Trebuchet MS"/>
          <w:color w:val="6E6E6E"/>
        </w:rPr>
        <w:t>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5. Realizar un balance de los impactos medioambientales ocasionados por las acciones humanas, identificando los principales problemas que afectan al medioambiente español y canario, conociendo los compromisos y las políticas de conservación y recuperación a nivel internacional y español, así como las medidas planteadas en Canarias.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b/>
        </w:rPr>
      </w:pPr>
      <w:r>
        <w:rPr>
          <w:rFonts w:ascii="Trebuchet MS" w:hAnsi="Trebuchet MS"/>
          <w:b/>
          <w:color w:val="6E6E6E"/>
        </w:rPr>
        <w:t>6. Identificar y describir los rasgos de la población española y canaria en la actualidad    y su distribución, interpretándolos en relación con la dinámica natural y migratoria, reconociendo su influencia en la estructura, concretando las diferencias territoriales y enjuiciando las perspectivas de futuro.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7. </w:t>
      </w:r>
      <w:r>
        <w:rPr>
          <w:rStyle w:val="Textoennegrita"/>
          <w:rFonts w:ascii="Trebuchet MS" w:hAnsi="Trebuchet MS"/>
          <w:color w:val="6E6E6E"/>
        </w:rPr>
        <w:t>Analizar el proceso de urbanización español y canario como una forma de organización territorial a través de la configuración de su sistema urbano, e identificar los aspectos básicos de la morfología urbana analizando los factores que la originan y las consecuencias que tiene para la vida social de los ciudadanos y ciudadanas</w:t>
      </w:r>
      <w:r>
        <w:rPr>
          <w:rFonts w:ascii="Trebuchet MS" w:hAnsi="Trebuchet MS"/>
          <w:color w:val="6E6E6E"/>
        </w:rPr>
        <w:t>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Trebuchet MS" w:hAnsi="Trebuchet MS"/>
          <w:color w:val="6E6E6E"/>
        </w:rPr>
      </w:pP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004CF1" w:rsidRDefault="00004CF1" w:rsidP="00004CF1">
      <w:pPr>
        <w:pStyle w:val="NormalWeb"/>
        <w:spacing w:before="120" w:beforeAutospacing="0" w:after="210" w:afterAutospacing="0"/>
        <w:jc w:val="both"/>
      </w:pPr>
      <w:r>
        <w:rPr>
          <w:noProof/>
        </w:rPr>
        <w:lastRenderedPageBreak/>
        <w:drawing>
          <wp:inline distT="0" distB="0" distL="0" distR="0" wp14:anchorId="492506FC" wp14:editId="2C89C5FE">
            <wp:extent cx="1962150" cy="504825"/>
            <wp:effectExtent l="0" t="0" r="0" b="0"/>
            <wp:docPr id="25" name="Imagen21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21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D6FF3" wp14:editId="333C8C7A">
            <wp:extent cx="2952750" cy="781050"/>
            <wp:effectExtent l="0" t="0" r="0" b="0"/>
            <wp:docPr id="26" name="Imagen22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22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</w:pPr>
      <w:r>
        <w:rPr>
          <w:rFonts w:ascii="Trebuchet MS" w:hAnsi="Trebuchet MS"/>
          <w:color w:val="6E6E6E"/>
        </w:rPr>
        <w:t>8. </w:t>
      </w:r>
      <w:r>
        <w:rPr>
          <w:rStyle w:val="Textoennegrita"/>
          <w:rFonts w:ascii="Trebuchet MS" w:hAnsi="Trebuchet MS"/>
          <w:color w:val="6E6E6E"/>
        </w:rPr>
        <w:t>Conocer y describir la organización política y administrativa de España y de la Comunidad Autónoma de Canarias, con sus particularidades, su funcionamiento, atribuciones y competencias, comprendiendo las consecuencias en la ordenación del territorio, y analizar mediante la utilización de distintas fuentes e indicadores los contrastes y distribución de la riqueza de las distintas comunidades autónomas y en su interior, aportando determinados ejemplos de políticas españolas y europeas de desarrollo y cohesión regional.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9</w:t>
      </w:r>
      <w:r>
        <w:rPr>
          <w:rStyle w:val="Textoennegrita"/>
          <w:rFonts w:ascii="Trebuchet MS" w:hAnsi="Trebuchet MS"/>
          <w:color w:val="6E6E6E"/>
        </w:rPr>
        <w:t>. Realizar una salida al entorno, o redactar un trabajo de campo o de investigación con datos primarios y secundarios, sobre un espacio representativo o un tema concreto, obteniendo la información necesaria de fuentes diversas, planteando cuestiones e hipótesis acerca de la zona o tema y presentando un informe de forma estructurada y rigurosa con la utilización de un vocabulario geográfico preciso</w:t>
      </w:r>
      <w:r>
        <w:rPr>
          <w:rFonts w:ascii="Trebuchet MS" w:hAnsi="Trebuchet MS"/>
          <w:color w:val="6E6E6E"/>
        </w:rPr>
        <w:t>.</w:t>
      </w:r>
    </w:p>
    <w:p w:rsidR="00004CF1" w:rsidRDefault="00004CF1" w:rsidP="00004CF1">
      <w:pPr>
        <w:pStyle w:val="NormalWeb"/>
        <w:spacing w:before="120" w:beforeAutospacing="0" w:after="210" w:afterAutospacing="0"/>
        <w:jc w:val="both"/>
        <w:rPr>
          <w:rFonts w:ascii="Trebuchet MS" w:hAnsi="Trebuchet MS"/>
          <w:color w:val="6E6E6E"/>
        </w:rPr>
      </w:pPr>
    </w:p>
    <w:p w:rsidR="00004CF1" w:rsidRDefault="00004CF1" w:rsidP="00004CF1">
      <w:pPr>
        <w:spacing w:before="120" w:after="210" w:line="240" w:lineRule="auto"/>
        <w:jc w:val="both"/>
      </w:pPr>
    </w:p>
    <w:p w:rsidR="00004CF1" w:rsidRDefault="00004CF1" w:rsidP="00004CF1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AC5D1A" w:rsidRDefault="00AC5D1A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04CF1" w:rsidRDefault="00004CF1" w:rsidP="00AC5D1A">
      <w:pPr>
        <w:spacing w:after="300"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AC5D1A" w:rsidRDefault="00AC5D1A" w:rsidP="00900667">
      <w:pPr>
        <w:spacing w:before="120" w:after="210" w:line="240" w:lineRule="auto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  <w:bookmarkStart w:id="0" w:name="_GoBack"/>
      <w:bookmarkEnd w:id="0"/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  <w:r w:rsidRPr="00900667">
        <w:rPr>
          <w:noProof/>
          <w:lang w:eastAsia="es-ES"/>
        </w:rPr>
        <w:lastRenderedPageBreak/>
        <w:drawing>
          <wp:inline distT="0" distB="0" distL="0" distR="0" wp14:anchorId="02F73961" wp14:editId="6160FCE0">
            <wp:extent cx="1962150" cy="504825"/>
            <wp:effectExtent l="0" t="0" r="0" b="0"/>
            <wp:docPr id="31" name="Imagen31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31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667">
        <w:rPr>
          <w:noProof/>
          <w:lang w:eastAsia="es-ES"/>
        </w:rPr>
        <w:drawing>
          <wp:inline distT="0" distB="0" distL="0" distR="0" wp14:anchorId="60D217E2" wp14:editId="76EB2944">
            <wp:extent cx="2952750" cy="781050"/>
            <wp:effectExtent l="0" t="0" r="0" b="0"/>
            <wp:docPr id="32" name="Imagen32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32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widowControl w:val="0"/>
        <w:suppressAutoHyphens/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</w:pPr>
      <w:r w:rsidRPr="00900667">
        <w:rPr>
          <w:rFonts w:ascii="Arial" w:eastAsia="SimSun" w:hAnsi="Arial" w:cs="Mangal"/>
          <w:b/>
          <w:bCs/>
          <w:kern w:val="2"/>
          <w:sz w:val="28"/>
          <w:szCs w:val="28"/>
          <w:u w:val="single"/>
          <w:lang w:eastAsia="zh-CN" w:bidi="hi-IN"/>
        </w:rPr>
        <w:t>CRITERIOS DE CALIFICACIÓN</w:t>
      </w: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Arial" w:eastAsia="SimSun" w:hAnsi="Arial" w:cs="Mangal"/>
          <w:bCs/>
          <w:kern w:val="2"/>
          <w:sz w:val="24"/>
          <w:szCs w:val="24"/>
          <w:lang w:eastAsia="zh-CN" w:bidi="hi-IN"/>
        </w:rPr>
      </w:pPr>
    </w:p>
    <w:p w:rsidR="00900667" w:rsidRPr="00900667" w:rsidRDefault="00900667" w:rsidP="00900667">
      <w:pPr>
        <w:suppressAutoHyphens/>
        <w:spacing w:after="0" w:line="240" w:lineRule="auto"/>
        <w:textAlignment w:val="baseline"/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</w:pPr>
      <w:r w:rsidRPr="00900667">
        <w:rPr>
          <w:rFonts w:ascii="Liberation Serif" w:eastAsia="SimSun" w:hAnsi="Liberation Serif" w:cs="Mangal"/>
          <w:b/>
          <w:bCs/>
          <w:kern w:val="2"/>
          <w:sz w:val="40"/>
          <w:szCs w:val="40"/>
          <w:lang w:eastAsia="zh-CN" w:bidi="hi-IN"/>
        </w:rPr>
        <w:t xml:space="preserve"> Bachillerato.</w:t>
      </w:r>
    </w:p>
    <w:tbl>
      <w:tblPr>
        <w:tblW w:w="7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79"/>
        <w:gridCol w:w="3557"/>
        <w:gridCol w:w="2534"/>
      </w:tblGrid>
      <w:tr w:rsidR="00900667" w:rsidRPr="00900667" w:rsidTr="00617238">
        <w:trPr>
          <w:trHeight w:val="100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Instrumento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Elementos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Evaluados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" w:eastAsia="SimSun" w:hAnsi="ArialNarrow" w:cs="ArialNarrow"/>
                <w:b/>
                <w:sz w:val="24"/>
                <w:szCs w:val="24"/>
                <w:lang w:val="en-US" w:eastAsia="zh-CN"/>
              </w:rPr>
              <w:t>Productos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Tipo de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4"/>
                <w:szCs w:val="24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4"/>
                <w:szCs w:val="24"/>
                <w:lang w:val="en-US" w:eastAsia="zh-CN"/>
              </w:rPr>
              <w:t>Calificación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OBSERVACIÓN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Participación en las 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Hábito de trabajo diario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Resolución de situaciones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  comunicativas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 Actitud...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</w:tc>
      </w:tr>
      <w:tr w:rsidR="00900667" w:rsidRPr="00900667" w:rsidTr="00617238">
        <w:trPr>
          <w:trHeight w:val="20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B)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TAREAS Y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ACTIVIDADES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C)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TRABAJOS Y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LECTURAS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-Plataforma virtual. Edmodo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-Exposiciones individuales o grupales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-Trabajos de investigación grupales o individuales...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Cualitativa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Cuantitativa</w:t>
            </w:r>
          </w:p>
        </w:tc>
      </w:tr>
      <w:tr w:rsidR="00900667" w:rsidRPr="0090066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D)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, Bold" w:eastAsia="SimSun" w:hAnsi="ArialNarrow, Bold" w:cs="ArialNarrow, Bold" w:hint="eastAsia"/>
                <w:b/>
                <w:bCs/>
                <w:sz w:val="18"/>
                <w:szCs w:val="18"/>
                <w:lang w:val="en-US" w:eastAsia="zh-C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 xml:space="preserve"> PRUEBAS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900667">
              <w:rPr>
                <w:rFonts w:ascii="ArialNarrow, Bold" w:eastAsia="SimSun" w:hAnsi="ArialNarrow, Bold" w:cs="ArialNarrow, Bold"/>
                <w:b/>
                <w:bCs/>
                <w:sz w:val="18"/>
                <w:szCs w:val="18"/>
                <w:lang w:val="en-US" w:eastAsia="zh-CN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 xml:space="preserve"> </w:t>
            </w: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sz w:val="20"/>
                <w:szCs w:val="20"/>
                <w:lang w:val="en-US" w:eastAsia="zh-CN"/>
              </w:rPr>
              <w:t>-Exámenes.(orales u escritos)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67" w:rsidRPr="00900667" w:rsidRDefault="00900667" w:rsidP="00900667">
            <w:pPr>
              <w:spacing w:after="0" w:line="240" w:lineRule="auto"/>
              <w:rPr>
                <w:rFonts w:ascii="ArialNarrow" w:eastAsia="SimSun" w:hAnsi="ArialNarrow" w:cs="ArialNarrow" w:hint="eastAsia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  <w:r w:rsidRPr="00900667">
              <w:rPr>
                <w:rFonts w:ascii="ArialNarrow" w:eastAsia="SimSun" w:hAnsi="ArialNarrow" w:cs="ArialNarrow"/>
                <w:kern w:val="2"/>
                <w:sz w:val="20"/>
                <w:szCs w:val="20"/>
                <w:lang w:val="en-US" w:eastAsia="zh-CN"/>
              </w:rPr>
              <w:t>Cuantitativa</w:t>
            </w:r>
          </w:p>
          <w:p w:rsidR="00900667" w:rsidRPr="00900667" w:rsidRDefault="00900667" w:rsidP="00900667">
            <w:pPr>
              <w:suppressAutoHyphens/>
              <w:spacing w:after="0" w:line="240" w:lineRule="auto"/>
              <w:textAlignment w:val="baseline"/>
              <w:rPr>
                <w:rFonts w:ascii="ArialNarrow" w:eastAsia="SimSun" w:hAnsi="ArialNarrow" w:cs="ArialNarrow" w:hint="eastAsia"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p w:rsidR="00900667" w:rsidRDefault="00900667" w:rsidP="00900667">
      <w:pPr>
        <w:spacing w:before="120" w:after="210" w:line="240" w:lineRule="auto"/>
        <w:rPr>
          <w:rFonts w:ascii="Trebuchet MS" w:eastAsia="Times New Roman" w:hAnsi="Trebuchet MS" w:cs="Times New Roman"/>
          <w:b/>
          <w:bCs/>
          <w:color w:val="6E6E6E"/>
          <w:sz w:val="24"/>
          <w:szCs w:val="24"/>
          <w:lang w:eastAsia="es-ES"/>
        </w:rPr>
      </w:pPr>
    </w:p>
    <w:p w:rsidR="000F3E18" w:rsidRDefault="000F3E18"/>
    <w:sectPr w:rsidR="000F3E18" w:rsidSect="000970B7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Narrow">
    <w:altName w:val="Times New Roman"/>
    <w:charset w:val="00"/>
    <w:family w:val="roman"/>
    <w:pitch w:val="variable"/>
  </w:font>
  <w:font w:name="ArialNarrow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0B3"/>
    <w:multiLevelType w:val="multilevel"/>
    <w:tmpl w:val="67D4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7"/>
    <w:rsid w:val="00004CF1"/>
    <w:rsid w:val="000970B7"/>
    <w:rsid w:val="000F3E18"/>
    <w:rsid w:val="00900667"/>
    <w:rsid w:val="00A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6BC"/>
  <w15:chartTrackingRefBased/>
  <w15:docId w15:val="{94BA13F0-7363-4FA0-82DC-CFD33F9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006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2</cp:revision>
  <dcterms:created xsi:type="dcterms:W3CDTF">2019-12-18T12:37:00Z</dcterms:created>
  <dcterms:modified xsi:type="dcterms:W3CDTF">2019-12-18T12:37:00Z</dcterms:modified>
</cp:coreProperties>
</file>