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8F" w:rsidRDefault="005C1E8F" w:rsidP="005C1E8F">
      <w:pPr>
        <w:pStyle w:val="NormalWeb"/>
        <w:spacing w:before="120" w:beforeAutospacing="0" w:after="210" w:afterAutospacing="0"/>
        <w:jc w:val="both"/>
      </w:pPr>
      <w:r>
        <w:rPr>
          <w:noProof/>
        </w:rPr>
        <w:drawing>
          <wp:inline distT="0" distB="0" distL="0" distR="0" wp14:anchorId="656B1559" wp14:editId="581ED4EB">
            <wp:extent cx="1962150" cy="504825"/>
            <wp:effectExtent l="0" t="0" r="0" b="0"/>
            <wp:docPr id="1" name="Imagen 1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B1031" wp14:editId="3C08F2F4">
            <wp:extent cx="2952750" cy="781050"/>
            <wp:effectExtent l="0" t="0" r="0" b="0"/>
            <wp:docPr id="2" name="Imagen 4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  <w:r>
        <w:rPr>
          <w:rFonts w:ascii="Trebuchet MS" w:hAnsi="Trebuchet MS"/>
          <w:color w:val="6E6E6E"/>
        </w:rPr>
        <w:t xml:space="preserve"> 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  <w:r>
        <w:rPr>
          <w:rFonts w:ascii="Trebuchet MS" w:hAnsi="Trebuchet MS"/>
          <w:b/>
          <w:color w:val="6E6E6E"/>
        </w:rPr>
        <w:t>Criterios de Evaluación. PRIMERO ESO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1. Localizar lugares o espacios en un mapa utilizando datos de coordenadas geográficas y obtener información sobre el espacio representado a partir de la leyenda y la simbología, comunicando las conclusiones de forma oral o escrita.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2. Situar en un mapa los elementos básicos que configuran el medio físico mundial, de Europa y de España (océanos y mares, continentes, unidades de relieve y ríos) caracterizando los rasgos que predominan en un espacio concreto con particular atención al medio canario.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3. Distinguir los rasgos físicos más destacados (relieve, clima, aguas y elementos biogeográficos) que configuran los grandes medios naturales del planeta, con especial referencia a España y Canarias, ubicándolos en el espacio representado y relacionándolos con las posibilidades que ofrecen a los grupos humanos.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4. Identificar y explicar, los impactos más significativos que la acción humana ejerce sobre el medio natural, en particular en Canarias, analizando sus causas y efectos, y señalando las medidas y conductas que serían necesarias para limitarlos.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5. Utilizar las convenciones y unidades cronológicas, así como las nociones de evolución y cambio, aplicándolas a los hechos y procesos de la Prehistoria e Historia Antigua del mundo y de la Península Ibérica.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6. Identificar y analizar los cambios que supuso la revolución neolítica en la evolución de la humanidad en comparación con las sociedades depredadoras, valorando su importancia y sus consecuencias.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7. Reconocer los rasgos más representativos de la Prehistoria en Canarias y analizar sus peculiaridades, respetando y conservando el legado histórico y cultural.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8. Diferenciar los rasgos más relevantes que caracterizan a alguna de las primeras civilizaciones urbanas y la civilización griega, identificando los elementos originales de ésta y valorando aspectos significativos de su aportación a la civilización occidental.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  <w:r>
        <w:rPr>
          <w:rFonts w:ascii="Trebuchet MS" w:hAnsi="Trebuchet MS"/>
          <w:b/>
          <w:color w:val="6E6E6E"/>
        </w:rPr>
        <w:t>9. Caracterizar los rasgos de la organización política, económica y social de la civilización romana, valorando la trascendencia de la romanización en Hispania y la pervivencia de su legado en nuestro país y analizando algunas de sus aportaciones más representativas.</w:t>
      </w:r>
    </w:p>
    <w:p w:rsidR="005C1E8F" w:rsidRDefault="005C1E8F" w:rsidP="005C1E8F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  <w:r>
        <w:rPr>
          <w:rFonts w:ascii="Trebuchet MS" w:hAnsi="Trebuchet MS"/>
          <w:b/>
          <w:color w:val="6E6E6E"/>
        </w:rPr>
        <w:t>10. Realizar una lectura comprensiva de fuentes de información escrita de contenido geográfico o histórico y comunicar la información obtenida de forma correcta oral y escrita.</w:t>
      </w:r>
    </w:p>
    <w:p w:rsidR="002E0FFB" w:rsidRDefault="002E0FFB" w:rsidP="005C1E8F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</w:p>
    <w:p w:rsidR="002E0FFB" w:rsidRDefault="002E0FFB" w:rsidP="005C1E8F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</w:p>
    <w:p w:rsidR="002E0FFB" w:rsidRDefault="002E0FFB" w:rsidP="005C1E8F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</w:p>
    <w:p w:rsidR="002E0FFB" w:rsidRDefault="002E0FFB" w:rsidP="005C1E8F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</w:p>
    <w:p w:rsidR="002E0FFB" w:rsidRPr="002E0FFB" w:rsidRDefault="002E0FFB" w:rsidP="002E0FFB">
      <w:pPr>
        <w:spacing w:after="0" w:line="240" w:lineRule="auto"/>
        <w:jc w:val="both"/>
      </w:pPr>
      <w:r w:rsidRPr="002E0FFB">
        <w:rPr>
          <w:rFonts w:ascii="Arial" w:hAnsi="Arial"/>
          <w:b/>
          <w:bCs/>
          <w:sz w:val="28"/>
          <w:szCs w:val="28"/>
          <w:u w:val="single"/>
        </w:rPr>
        <w:t>CRITERIOS DE CALIFICACIÓN</w:t>
      </w:r>
    </w:p>
    <w:p w:rsidR="002E0FFB" w:rsidRPr="002E0FFB" w:rsidRDefault="002E0FFB" w:rsidP="002E0FFB">
      <w:pPr>
        <w:rPr>
          <w:rFonts w:ascii="Arial" w:hAnsi="Arial"/>
          <w:b/>
          <w:bCs/>
          <w:u w:val="single"/>
        </w:rPr>
      </w:pPr>
    </w:p>
    <w:p w:rsidR="002E0FFB" w:rsidRPr="002E0FFB" w:rsidRDefault="002E0FFB" w:rsidP="002E0FFB">
      <w:pPr>
        <w:jc w:val="both"/>
      </w:pPr>
      <w:r w:rsidRPr="002E0FFB">
        <w:rPr>
          <w:rFonts w:ascii="Arial" w:hAnsi="Arial" w:cs="Arial"/>
        </w:rPr>
        <w:t>Puesto que en cada periodo de evaluación se tendrán en cuenta diferentes procedimientos e instrumentos de evaluación, todos contribuirán a la calificación en cada periodo. Para obtener la nota de una evaluación, se ponderarán los instrumentos disponibles en la proporción y con las condiciones que figuran en la siguiente tabla:</w:t>
      </w:r>
    </w:p>
    <w:p w:rsidR="002E0FFB" w:rsidRPr="002E0FFB" w:rsidRDefault="002E0FFB" w:rsidP="002E0FFB">
      <w:r>
        <w:rPr>
          <w:rFonts w:ascii="Arial Black" w:hAnsi="Arial Black" w:cs="ArialNarrow"/>
          <w:sz w:val="36"/>
          <w:szCs w:val="36"/>
        </w:rPr>
        <w:t>1º</w:t>
      </w:r>
      <w:bookmarkStart w:id="0" w:name="_GoBack"/>
      <w:bookmarkEnd w:id="0"/>
    </w:p>
    <w:tbl>
      <w:tblPr>
        <w:tblW w:w="7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9"/>
        <w:gridCol w:w="3557"/>
        <w:gridCol w:w="2309"/>
      </w:tblGrid>
      <w:tr w:rsidR="002E0FFB" w:rsidRPr="002E0FFB" w:rsidTr="00617238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2E0FFB">
              <w:rPr>
                <w:rFonts w:ascii="ArialNarrow" w:hAnsi="ArialNarrow" w:cs="ArialNarrow"/>
              </w:rPr>
              <w:t>Instrumento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2E0FFB">
              <w:rPr>
                <w:rFonts w:ascii="ArialNarrow" w:hAnsi="ArialNarrow" w:cs="ArialNarrow"/>
              </w:rPr>
              <w:t>Evaluador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2E0FFB">
              <w:rPr>
                <w:rFonts w:ascii="ArialNarrow" w:hAnsi="ArialNarrow" w:cs="ArialNarrow"/>
              </w:rPr>
              <w:t>Elementos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2E0FFB">
              <w:rPr>
                <w:rFonts w:ascii="ArialNarrow" w:hAnsi="ArialNarrow" w:cs="ArialNarrow"/>
              </w:rPr>
              <w:t>Evaluados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</w:pPr>
            <w:r w:rsidRPr="002E0FFB">
              <w:rPr>
                <w:rFonts w:ascii="ArialNarrow" w:hAnsi="ArialNarrow" w:cs="ArialNarrow"/>
                <w:b/>
              </w:rPr>
              <w:t>Productos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2E0FFB">
              <w:rPr>
                <w:rFonts w:ascii="ArialNarrow" w:hAnsi="ArialNarrow" w:cs="ArialNarrow"/>
              </w:rPr>
              <w:t>Tipo de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2E0FFB">
              <w:rPr>
                <w:rFonts w:ascii="ArialNarrow" w:hAnsi="ArialNarrow" w:cs="ArialNarrow"/>
              </w:rPr>
              <w:t>Calificación</w:t>
            </w:r>
          </w:p>
        </w:tc>
      </w:tr>
      <w:tr w:rsidR="002E0FFB" w:rsidRPr="002E0FFB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A)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OBSERVACIÓN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SISTEMÁTICA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 Participación en las actividades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 Hábito de trabajo diario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 Resolución de situaciones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 xml:space="preserve">   comunicativas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 Actitud...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2E0FFB" w:rsidRPr="002E0FFB" w:rsidTr="00617238">
        <w:trPr>
          <w:trHeight w:val="1455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B)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TAREAS Y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-Tareas en casa.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-Intervenciones orales en clase.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-Ejercicios de clase orales y escritos.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2E0FFB" w:rsidRPr="002E0FFB" w:rsidTr="00617238">
        <w:trPr>
          <w:trHeight w:val="370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0FFB" w:rsidRPr="002E0FFB" w:rsidRDefault="002E0FFB" w:rsidP="002E0FFB"/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-Cuaderno</w:t>
            </w:r>
          </w:p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2E0FFB" w:rsidRPr="002E0FFB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C)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TRABAJOS Y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LECTURAS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-Trabajos personales o grupales...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-Controles de lectura...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 xml:space="preserve"> Cuantitativa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 xml:space="preserve"> Cualitativa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 xml:space="preserve">  (Obligatoria)</w:t>
            </w:r>
          </w:p>
        </w:tc>
      </w:tr>
      <w:tr w:rsidR="002E0FFB" w:rsidRPr="002E0FFB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D)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 xml:space="preserve"> PRUEBAS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</w:pPr>
            <w:r w:rsidRPr="002E0FFB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Específicas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-Exámenes.(orales u escritos)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FB" w:rsidRPr="002E0FFB" w:rsidRDefault="002E0FFB" w:rsidP="002E0FFB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2E0FFB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2E0FFB" w:rsidRPr="002E0FFB" w:rsidRDefault="002E0FFB" w:rsidP="002E0FFB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</w:tbl>
    <w:p w:rsidR="002E0FFB" w:rsidRPr="002E0FFB" w:rsidRDefault="002E0FFB" w:rsidP="002E0FFB">
      <w:pPr>
        <w:rPr>
          <w:rFonts w:ascii="Arial" w:hAnsi="Arial"/>
          <w:b/>
          <w:bCs/>
          <w:u w:val="single"/>
        </w:rPr>
      </w:pPr>
    </w:p>
    <w:p w:rsidR="002E0FFB" w:rsidRDefault="002E0FFB" w:rsidP="005C1E8F">
      <w:pPr>
        <w:pStyle w:val="NormalWeb"/>
        <w:spacing w:before="120" w:beforeAutospacing="0" w:after="210" w:afterAutospacing="0"/>
        <w:jc w:val="both"/>
        <w:rPr>
          <w:rFonts w:ascii="Verdana" w:hAnsi="Verdana"/>
          <w:b/>
          <w:color w:val="6E6E6E"/>
          <w:sz w:val="20"/>
          <w:szCs w:val="20"/>
        </w:rPr>
      </w:pPr>
    </w:p>
    <w:p w:rsidR="005C1E8F" w:rsidRDefault="005C1E8F" w:rsidP="005C1E8F">
      <w:pPr>
        <w:pStyle w:val="NormalWeb"/>
        <w:spacing w:before="120" w:beforeAutospacing="0" w:after="210" w:afterAutospacing="0"/>
        <w:rPr>
          <w:rStyle w:val="Textoennegrita"/>
          <w:rFonts w:ascii="Trebuchet MS" w:hAnsi="Trebuchet MS"/>
          <w:color w:val="6E6E6E"/>
        </w:rPr>
      </w:pPr>
    </w:p>
    <w:p w:rsidR="000F3E18" w:rsidRDefault="000F3E18"/>
    <w:sectPr w:rsidR="000F3E18" w:rsidSect="005C1E8F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altName w:val="Times New Roman"/>
    <w:charset w:val="00"/>
    <w:family w:val="roman"/>
    <w:pitch w:val="variable"/>
  </w:font>
  <w:font w:name="ArialNarrow;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8F"/>
    <w:rsid w:val="000F3E18"/>
    <w:rsid w:val="002E0FFB"/>
    <w:rsid w:val="005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B8C8"/>
  <w15:chartTrackingRefBased/>
  <w15:docId w15:val="{F1FC7BF9-AC94-4681-83EA-1EC718A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C1E8F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5C1E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SANTANA CASTRO</dc:creator>
  <cp:keywords/>
  <dc:description/>
  <cp:lastModifiedBy>MARÍA ISABEL SANTANA CASTRO</cp:lastModifiedBy>
  <cp:revision>2</cp:revision>
  <dcterms:created xsi:type="dcterms:W3CDTF">2019-12-18T12:13:00Z</dcterms:created>
  <dcterms:modified xsi:type="dcterms:W3CDTF">2019-12-18T12:17:00Z</dcterms:modified>
</cp:coreProperties>
</file>